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7025"/>
      </w:tblGrid>
      <w:tr w14:paraId="752D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2AA99417">
            <w:pPr>
              <w:spacing w:line="360" w:lineRule="auto"/>
              <w:jc w:val="center"/>
              <w:rPr>
                <w:rFonts w:ascii="Times New Roman" w:hAnsi="Times New Roman" w:eastAsia="宋体"/>
                <w:b/>
                <w:sz w:val="24"/>
              </w:rPr>
            </w:pPr>
            <w:bookmarkStart w:id="0" w:name="_GoBack"/>
            <w:bookmarkEnd w:id="0"/>
            <w:r>
              <w:rPr>
                <w:rFonts w:hint="eastAsia" w:ascii="Times New Roman" w:hAnsi="Times New Roman" w:eastAsia="宋体"/>
                <w:b/>
                <w:sz w:val="24"/>
              </w:rPr>
              <w:t>项目名称</w:t>
            </w:r>
          </w:p>
        </w:tc>
        <w:tc>
          <w:tcPr>
            <w:tcW w:w="7025" w:type="dxa"/>
          </w:tcPr>
          <w:p w14:paraId="46A2F8BE">
            <w:pPr>
              <w:spacing w:line="360" w:lineRule="auto"/>
              <w:rPr>
                <w:rFonts w:ascii="Times New Roman" w:hAnsi="Times New Roman" w:eastAsia="宋体"/>
                <w:sz w:val="24"/>
              </w:rPr>
            </w:pPr>
            <w:r>
              <w:rPr>
                <w:rFonts w:hint="eastAsia" w:ascii="Times New Roman" w:hAnsi="Times New Roman" w:eastAsia="宋体"/>
                <w:sz w:val="24"/>
              </w:rPr>
              <w:t>铝</w:t>
            </w:r>
            <w:r>
              <w:rPr>
                <w:rFonts w:ascii="Times New Roman" w:hAnsi="Times New Roman" w:eastAsia="宋体"/>
                <w:sz w:val="24"/>
              </w:rPr>
              <w:t>/镁合金液固高压铸锻复合成形技术与装备</w:t>
            </w:r>
          </w:p>
        </w:tc>
      </w:tr>
      <w:tr w14:paraId="1B91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6A07B65A">
            <w:pPr>
              <w:spacing w:line="360" w:lineRule="auto"/>
              <w:jc w:val="center"/>
              <w:rPr>
                <w:rFonts w:ascii="Times New Roman" w:hAnsi="Times New Roman" w:eastAsia="宋体"/>
                <w:b/>
                <w:sz w:val="24"/>
              </w:rPr>
            </w:pPr>
            <w:r>
              <w:rPr>
                <w:rFonts w:hint="eastAsia" w:ascii="Times New Roman" w:hAnsi="Times New Roman" w:eastAsia="宋体"/>
                <w:b/>
                <w:sz w:val="24"/>
              </w:rPr>
              <w:t>完成人</w:t>
            </w:r>
          </w:p>
        </w:tc>
        <w:tc>
          <w:tcPr>
            <w:tcW w:w="7025" w:type="dxa"/>
          </w:tcPr>
          <w:p w14:paraId="44EB8D1C">
            <w:pPr>
              <w:spacing w:line="360" w:lineRule="auto"/>
              <w:rPr>
                <w:rFonts w:ascii="Times New Roman" w:hAnsi="Times New Roman" w:eastAsia="宋体"/>
                <w:sz w:val="24"/>
              </w:rPr>
            </w:pPr>
            <w:r>
              <w:rPr>
                <w:rFonts w:hint="eastAsia" w:ascii="Times New Roman" w:hAnsi="Times New Roman" w:eastAsia="宋体"/>
                <w:sz w:val="24"/>
              </w:rPr>
              <w:t>姜巨福、花珍铭、王</w:t>
            </w:r>
            <w:r>
              <w:rPr>
                <w:rFonts w:ascii="Times New Roman" w:hAnsi="Times New Roman" w:eastAsia="宋体"/>
                <w:sz w:val="24"/>
              </w:rPr>
              <w:t>迎</w:t>
            </w:r>
            <w:r>
              <w:rPr>
                <w:rFonts w:hint="eastAsia" w:ascii="Times New Roman" w:hAnsi="Times New Roman" w:eastAsia="宋体"/>
                <w:sz w:val="24"/>
              </w:rPr>
              <w:t>、董</w:t>
            </w:r>
            <w:r>
              <w:rPr>
                <w:rFonts w:ascii="Times New Roman" w:hAnsi="Times New Roman" w:eastAsia="宋体"/>
                <w:sz w:val="24"/>
              </w:rPr>
              <w:t>健</w:t>
            </w:r>
            <w:r>
              <w:rPr>
                <w:rFonts w:hint="eastAsia" w:ascii="Times New Roman" w:hAnsi="Times New Roman" w:eastAsia="宋体"/>
                <w:sz w:val="24"/>
              </w:rPr>
              <w:t>、孔令波、洪</w:t>
            </w:r>
            <w:r>
              <w:rPr>
                <w:rFonts w:ascii="Times New Roman" w:hAnsi="Times New Roman" w:eastAsia="宋体"/>
                <w:sz w:val="24"/>
              </w:rPr>
              <w:t>艳</w:t>
            </w:r>
            <w:r>
              <w:rPr>
                <w:rFonts w:hint="eastAsia" w:ascii="Times New Roman" w:hAnsi="Times New Roman" w:eastAsia="宋体"/>
                <w:sz w:val="24"/>
              </w:rPr>
              <w:t>、周</w:t>
            </w:r>
            <w:r>
              <w:rPr>
                <w:rFonts w:ascii="Times New Roman" w:hAnsi="Times New Roman" w:eastAsia="宋体"/>
                <w:sz w:val="24"/>
              </w:rPr>
              <w:t>俊</w:t>
            </w:r>
            <w:r>
              <w:rPr>
                <w:rFonts w:hint="eastAsia" w:ascii="Times New Roman" w:hAnsi="Times New Roman" w:eastAsia="宋体"/>
                <w:sz w:val="24"/>
              </w:rPr>
              <w:t>、李卫荣、刘洪雷、王成刚、张爱群、梁应高、赵</w:t>
            </w:r>
            <w:r>
              <w:rPr>
                <w:rFonts w:ascii="Times New Roman" w:hAnsi="Times New Roman" w:eastAsia="宋体"/>
                <w:sz w:val="24"/>
              </w:rPr>
              <w:t>丰</w:t>
            </w:r>
            <w:r>
              <w:rPr>
                <w:rFonts w:hint="eastAsia" w:ascii="Times New Roman" w:hAnsi="Times New Roman" w:eastAsia="宋体"/>
                <w:sz w:val="24"/>
              </w:rPr>
              <w:t>、崔竞波、张晓东、张金泽</w:t>
            </w:r>
          </w:p>
        </w:tc>
      </w:tr>
      <w:tr w14:paraId="4C25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312ADD94">
            <w:pPr>
              <w:spacing w:line="360" w:lineRule="auto"/>
              <w:jc w:val="center"/>
              <w:rPr>
                <w:rFonts w:ascii="Times New Roman" w:hAnsi="Times New Roman" w:eastAsia="宋体"/>
                <w:b/>
                <w:sz w:val="24"/>
              </w:rPr>
            </w:pPr>
            <w:r>
              <w:rPr>
                <w:rFonts w:hint="eastAsia" w:ascii="Times New Roman" w:hAnsi="Times New Roman" w:eastAsia="宋体"/>
                <w:b/>
                <w:sz w:val="24"/>
              </w:rPr>
              <w:t>完成单位</w:t>
            </w:r>
          </w:p>
        </w:tc>
        <w:tc>
          <w:tcPr>
            <w:tcW w:w="7025" w:type="dxa"/>
          </w:tcPr>
          <w:p w14:paraId="54834CC8">
            <w:pPr>
              <w:spacing w:line="360" w:lineRule="auto"/>
              <w:rPr>
                <w:rFonts w:ascii="Times New Roman" w:hAnsi="Times New Roman" w:eastAsia="宋体"/>
                <w:sz w:val="24"/>
              </w:rPr>
            </w:pPr>
            <w:r>
              <w:rPr>
                <w:rFonts w:hint="eastAsia" w:ascii="Times New Roman" w:hAnsi="Times New Roman" w:eastAsia="宋体"/>
                <w:sz w:val="24"/>
              </w:rPr>
              <w:t>哈尔滨工业大学、河北工业大学、嘉瑞科技（惠州）有限公司、伊之密股份有限公司、东莞宜安科技股份有限公司、东北轻合金有限责任公司、一汽铸造有限公司、江苏苏美达铝业有限公司、东莞捷劲机械设备有限公司、大连安达汽车零部件有限公司</w:t>
            </w:r>
          </w:p>
        </w:tc>
      </w:tr>
      <w:tr w14:paraId="0BCC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560F2D26">
            <w:pPr>
              <w:spacing w:line="360" w:lineRule="auto"/>
              <w:jc w:val="center"/>
              <w:rPr>
                <w:rFonts w:ascii="Times New Roman" w:hAnsi="Times New Roman" w:eastAsia="宋体"/>
                <w:b/>
                <w:sz w:val="24"/>
              </w:rPr>
            </w:pPr>
            <w:r>
              <w:rPr>
                <w:rFonts w:hint="eastAsia" w:ascii="Times New Roman" w:hAnsi="Times New Roman" w:eastAsia="宋体"/>
                <w:b/>
                <w:sz w:val="24"/>
              </w:rPr>
              <w:t>主要知识产权目录</w:t>
            </w:r>
          </w:p>
        </w:tc>
        <w:tc>
          <w:tcPr>
            <w:tcW w:w="7025" w:type="dxa"/>
          </w:tcPr>
          <w:p w14:paraId="69EF15E2">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一种轻合金压铸充填锻造密实一体化成形装置</w:t>
            </w:r>
          </w:p>
          <w:p w14:paraId="545BDB79">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一种轻合金真空高压铸造柔性加载铸锻复合成形装置的使用方法</w:t>
            </w:r>
          </w:p>
          <w:p w14:paraId="1BFE51F3">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一种便于转向的电动加液压铸机</w:t>
            </w:r>
          </w:p>
          <w:p w14:paraId="61466441">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一种铝合金反重力充填液固态局部加载铸锻复合成形装置及其使用方法</w:t>
            </w:r>
          </w:p>
          <w:p w14:paraId="361392FF">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一种镧微合金化的高硅铝合金变质细化和除气熔炼方法</w:t>
            </w:r>
          </w:p>
          <w:p w14:paraId="233C9FA9">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储能器氮气压力自动调整系统及其控制方法</w:t>
            </w:r>
          </w:p>
          <w:p w14:paraId="14B609B4">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一种不等厚深腔壳型铝合金构件挤压铸造装置及其使用方法</w:t>
            </w:r>
          </w:p>
          <w:p w14:paraId="76E7241D">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一种锆和钒微合金化挤压铸造制备高硅耐热铝合金的方法</w:t>
            </w:r>
          </w:p>
          <w:p w14:paraId="3B18A208">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比例插装阀及液压设备</w:t>
            </w:r>
          </w:p>
          <w:p w14:paraId="522CEA96">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一种应用于半固态触变成形的变形铝合金高固相分数半固态浆料的制备方法</w:t>
            </w:r>
          </w:p>
          <w:p w14:paraId="5475E3FB">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一种2A14铝合金薄壁高筋深腔壳体件半固态触变锻造装置及应用方法</w:t>
            </w:r>
          </w:p>
          <w:p w14:paraId="28C4BF37">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一种半固态流变压铸成形铝合金5G通信基站机箱壳体件的模具及其使用方法</w:t>
            </w:r>
          </w:p>
          <w:p w14:paraId="1491F1C7">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一种压铸机快速自动脱模结构</w:t>
            </w:r>
          </w:p>
          <w:p w14:paraId="2C5E4499">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一种压铸机低压快速给汤结构</w:t>
            </w:r>
          </w:p>
          <w:p w14:paraId="2A947171">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纳米SiC颗粒增强7075铝基复合材料半固态浆料的成型装置和成型方法</w:t>
            </w:r>
          </w:p>
          <w:p w14:paraId="05E9245F">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一种带有绝热柱塞加长套的压铸机</w:t>
            </w:r>
          </w:p>
          <w:p w14:paraId="2EF9D417">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一种断后延伸率测量装置</w:t>
            </w:r>
          </w:p>
          <w:p w14:paraId="64C29DC4">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一种铸件气密性检测装置</w:t>
            </w:r>
          </w:p>
          <w:p w14:paraId="3870C032">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用于薄壁件压铸成型的压铸模具和薄壁件成型工艺</w:t>
            </w:r>
          </w:p>
          <w:p w14:paraId="31E7F38F">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一种航空航天用Al-Zn-Mg-Cu系铝合金挤压材及其制备方法</w:t>
            </w:r>
          </w:p>
          <w:p w14:paraId="339679B4">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一种700MPa级Al-Zn-Mg-Cu系铝合金挤压材及其制备方法</w:t>
            </w:r>
          </w:p>
          <w:p w14:paraId="66235CB9">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一种铸造-轧制高强高韧铝硅合金及其制备方法</w:t>
            </w:r>
          </w:p>
          <w:p w14:paraId="13AB5340">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生产汽车传动箱壳体用冷室压铸组件及压铸方法</w:t>
            </w:r>
          </w:p>
          <w:p w14:paraId="65504FE4">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制造高铁制动盘用热室压铸组件及压铸方法</w:t>
            </w:r>
          </w:p>
          <w:p w14:paraId="335DD510">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一种具有耐高温性能的铝合金棒材的制备方法</w:t>
            </w:r>
          </w:p>
          <w:p w14:paraId="59B54803">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一种具有高热稳定性的低成本镁合金及其制备方法</w:t>
            </w:r>
          </w:p>
          <w:p w14:paraId="076C9CEF">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一种低成本高耐腐蚀高强度镁合金及其制备方法</w:t>
            </w:r>
          </w:p>
          <w:p w14:paraId="6FC190DC">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一种低合金化高耐蚀镁合金及其制备方法</w:t>
            </w:r>
          </w:p>
          <w:p w14:paraId="723320E7">
            <w:pPr>
              <w:pStyle w:val="12"/>
              <w:numPr>
                <w:ilvl w:val="0"/>
                <w:numId w:val="1"/>
              </w:numPr>
              <w:spacing w:line="360" w:lineRule="auto"/>
              <w:ind w:firstLineChars="0"/>
              <w:rPr>
                <w:rFonts w:ascii="Times New Roman" w:hAnsi="Times New Roman" w:eastAsia="宋体"/>
                <w:sz w:val="24"/>
              </w:rPr>
            </w:pPr>
            <w:r>
              <w:rPr>
                <w:rFonts w:hint="eastAsia" w:ascii="Times New Roman" w:hAnsi="Times New Roman" w:eastAsia="宋体"/>
                <w:sz w:val="24"/>
              </w:rPr>
              <w:t>一种高时效硬化响应耐蚀镁合金及其制备方法</w:t>
            </w:r>
          </w:p>
        </w:tc>
      </w:tr>
    </w:tbl>
    <w:p w14:paraId="4049CBD9">
      <w:pPr>
        <w:spacing w:line="360" w:lineRule="auto"/>
        <w:rPr>
          <w:rFonts w:ascii="Times New Roman" w:hAnsi="Times New Roman" w:eastAsia="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0D0592"/>
    <w:multiLevelType w:val="multilevel"/>
    <w:tmpl w:val="050D059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FFD"/>
    <w:rsid w:val="00093CFC"/>
    <w:rsid w:val="0042013B"/>
    <w:rsid w:val="004E3FFD"/>
    <w:rsid w:val="004E4CE8"/>
    <w:rsid w:val="006D4202"/>
    <w:rsid w:val="00766497"/>
    <w:rsid w:val="008170FC"/>
    <w:rsid w:val="0097032E"/>
    <w:rsid w:val="00C60F1A"/>
    <w:rsid w:val="00C85B21"/>
    <w:rsid w:val="00EE2366"/>
    <w:rsid w:val="12280E34"/>
    <w:rsid w:val="4EDA1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jc w:val="left"/>
    </w:pPr>
    <w:rPr>
      <w:sz w:val="18"/>
      <w:szCs w:val="18"/>
    </w:rPr>
  </w:style>
  <w:style w:type="paragraph" w:styleId="3">
    <w:name w:val="header"/>
    <w:basedOn w:val="1"/>
    <w:link w:val="9"/>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bCs/>
    </w:rPr>
  </w:style>
  <w:style w:type="character" w:styleId="8">
    <w:name w:val="Hyperlink"/>
    <w:basedOn w:val="6"/>
    <w:uiPriority w:val="99"/>
    <w:rPr>
      <w:color w:val="0563C1"/>
      <w:u w:val="single"/>
    </w:rPr>
  </w:style>
  <w:style w:type="character" w:customStyle="1" w:styleId="9">
    <w:name w:val="页眉 字符"/>
    <w:basedOn w:val="6"/>
    <w:link w:val="3"/>
    <w:qFormat/>
    <w:uiPriority w:val="99"/>
    <w:rPr>
      <w:sz w:val="18"/>
      <w:szCs w:val="18"/>
    </w:rPr>
  </w:style>
  <w:style w:type="character" w:customStyle="1" w:styleId="10">
    <w:name w:val="页脚 字符"/>
    <w:basedOn w:val="6"/>
    <w:link w:val="2"/>
    <w:uiPriority w:val="99"/>
    <w:rPr>
      <w:sz w:val="18"/>
      <w:szCs w:val="18"/>
    </w:rPr>
  </w:style>
  <w:style w:type="character" w:customStyle="1" w:styleId="11">
    <w:name w:val="未处理的提及1"/>
    <w:basedOn w:val="6"/>
    <w:uiPriority w:val="99"/>
    <w:rPr>
      <w:color w:val="605E5C"/>
      <w:shd w:val="clear" w:color="auto" w:fill="E1DFDD"/>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1184</Words>
  <Characters>1271</Characters>
  <Lines>43</Lines>
  <Paragraphs>34</Paragraphs>
  <TotalTime>15</TotalTime>
  <ScaleCrop>false</ScaleCrop>
  <LinksUpToDate>false</LinksUpToDate>
  <CharactersWithSpaces>1272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2026-09-06T05:41:00Z</dcterms:created>
  <dc:creator>ASUS</dc:creator>
  <cp:lastModifiedBy>秦少华</cp:lastModifiedBy>
  <dcterms:modified xsi:type="dcterms:W3CDTF">2026-09-07T02:44:27Z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59ec5579824a47d0823b4a0d9ba7584d_23</vt:lpwstr>
  </property>
  <property fmtid="{D5CDD505-2E9C-101B-9397-08002B2CF9AE}" pid="3" name="GrammarlyDocumentId">
    <vt:lpwstr>ef81ffe5-a857-46ee-b2f1-7381d5ec891c</vt:lpwstr>
  </property>
  <property fmtid="{D5CDD505-2E9C-101B-9397-08002B2CF9AE}" pid="4" name="KSOTemplateDocerSaveRecord">
    <vt:lpwstr>eyJoZGlkIjoiMDE5NWRhZmI4NTY5NDQyZjYyYjFhMTY5NGRiMjM5NGIiLCJ1c2VySWQiOiIxNzcyODU2NTI2In0=</vt:lpwstr>
  </property>
  <property fmtid="{D5CDD505-2E9C-101B-9397-08002B2CF9AE}" pid="5" name="KSOProductBuildVer">
    <vt:lpwstr>2052-12.1.0.28043</vt:lpwstr>
  </property>
</Properties>
</file>